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C7E" w:rsidRPr="00281E3F" w:rsidRDefault="0086743E" w:rsidP="00BD40CC">
      <w:pPr>
        <w:pStyle w:val="3"/>
        <w:spacing w:after="0" w:line="460" w:lineRule="exact"/>
        <w:ind w:leftChars="-1" w:left="-2" w:firstLine="1"/>
        <w:jc w:val="both"/>
        <w:rPr>
          <w:rFonts w:ascii="標楷體" w:eastAsia="標楷體" w:hAnsi="標楷體" w:hint="eastAsia"/>
          <w:b/>
          <w:spacing w:val="20"/>
          <w:sz w:val="28"/>
          <w:szCs w:val="28"/>
        </w:rPr>
      </w:pPr>
      <w:bookmarkStart w:id="0" w:name="_GoBack"/>
      <w:bookmarkEnd w:id="0"/>
      <w:r w:rsidRPr="00281E3F">
        <w:rPr>
          <w:rFonts w:ascii="標楷體" w:eastAsia="標楷體" w:hAnsi="標楷體" w:hint="eastAsia"/>
          <w:b/>
          <w:sz w:val="28"/>
          <w:szCs w:val="28"/>
        </w:rPr>
        <w:t>臺中市沙鹿區</w:t>
      </w:r>
      <w:r w:rsidR="00F56C7E" w:rsidRPr="00281E3F">
        <w:rPr>
          <w:rFonts w:ascii="標楷體" w:eastAsia="標楷體" w:hAnsi="標楷體"/>
          <w:b/>
          <w:sz w:val="28"/>
          <w:szCs w:val="28"/>
        </w:rPr>
        <w:t>戶政事務所性騷擾</w:t>
      </w:r>
      <w:r w:rsidR="00F56C7E" w:rsidRPr="00281E3F">
        <w:rPr>
          <w:rFonts w:ascii="標楷體" w:eastAsia="標楷體" w:hAnsi="標楷體" w:hint="eastAsia"/>
          <w:b/>
          <w:sz w:val="28"/>
          <w:szCs w:val="28"/>
        </w:rPr>
        <w:t>防治措施及</w:t>
      </w:r>
      <w:r w:rsidR="00F56C7E" w:rsidRPr="00281E3F">
        <w:rPr>
          <w:rFonts w:ascii="標楷體" w:eastAsia="標楷體" w:hAnsi="標楷體" w:hint="eastAsia"/>
          <w:b/>
          <w:spacing w:val="20"/>
          <w:sz w:val="28"/>
          <w:szCs w:val="28"/>
        </w:rPr>
        <w:t>申訴懲</w:t>
      </w:r>
      <w:r w:rsidR="001408B3" w:rsidRPr="00281E3F">
        <w:rPr>
          <w:rFonts w:ascii="標楷體" w:eastAsia="標楷體" w:hAnsi="標楷體" w:hint="eastAsia"/>
          <w:b/>
          <w:spacing w:val="20"/>
          <w:sz w:val="28"/>
          <w:szCs w:val="28"/>
        </w:rPr>
        <w:t>處</w:t>
      </w:r>
      <w:r w:rsidR="00F56C7E" w:rsidRPr="00281E3F">
        <w:rPr>
          <w:rFonts w:ascii="標楷體" w:eastAsia="標楷體" w:hAnsi="標楷體" w:hint="eastAsia"/>
          <w:b/>
          <w:spacing w:val="20"/>
          <w:sz w:val="28"/>
          <w:szCs w:val="28"/>
        </w:rPr>
        <w:t>處理</w:t>
      </w:r>
      <w:r w:rsidR="001408B3" w:rsidRPr="00281E3F">
        <w:rPr>
          <w:rFonts w:ascii="標楷體" w:eastAsia="標楷體" w:hAnsi="標楷體" w:hint="eastAsia"/>
          <w:b/>
          <w:spacing w:val="20"/>
          <w:sz w:val="28"/>
          <w:szCs w:val="28"/>
        </w:rPr>
        <w:t>作業規定</w:t>
      </w:r>
    </w:p>
    <w:p w:rsidR="001408B3" w:rsidRPr="00281E3F" w:rsidRDefault="001408B3" w:rsidP="00BD7C19">
      <w:pPr>
        <w:pStyle w:val="3"/>
        <w:numPr>
          <w:ilvl w:val="0"/>
          <w:numId w:val="5"/>
        </w:numPr>
        <w:spacing w:after="0" w:line="460" w:lineRule="exact"/>
        <w:ind w:leftChars="0"/>
        <w:jc w:val="both"/>
        <w:rPr>
          <w:rFonts w:ascii="標楷體" w:eastAsia="標楷體" w:hAnsi="標楷體" w:hint="eastAsia"/>
          <w:spacing w:val="20"/>
          <w:sz w:val="28"/>
          <w:szCs w:val="28"/>
        </w:rPr>
      </w:pPr>
      <w:r w:rsidRPr="00281E3F">
        <w:rPr>
          <w:rFonts w:ascii="標楷體" w:eastAsia="標楷體" w:hAnsi="標楷體" w:hint="eastAsia"/>
          <w:spacing w:val="20"/>
          <w:sz w:val="28"/>
          <w:szCs w:val="28"/>
        </w:rPr>
        <w:t>目的：</w:t>
      </w:r>
    </w:p>
    <w:p w:rsidR="0086743E" w:rsidRPr="00281E3F" w:rsidRDefault="001408B3" w:rsidP="00BD40CC">
      <w:pPr>
        <w:pStyle w:val="3"/>
        <w:numPr>
          <w:ilvl w:val="0"/>
          <w:numId w:val="2"/>
        </w:numPr>
        <w:tabs>
          <w:tab w:val="clear" w:pos="1919"/>
          <w:tab w:val="num" w:pos="1440"/>
        </w:tabs>
        <w:spacing w:after="0" w:line="460" w:lineRule="exact"/>
        <w:ind w:leftChars="0" w:left="1440" w:hanging="961"/>
        <w:jc w:val="both"/>
        <w:rPr>
          <w:rFonts w:ascii="標楷體" w:eastAsia="標楷體" w:hAnsi="標楷體" w:hint="eastAsia"/>
          <w:sz w:val="28"/>
          <w:szCs w:val="28"/>
        </w:rPr>
      </w:pPr>
      <w:r w:rsidRPr="00281E3F">
        <w:rPr>
          <w:rFonts w:ascii="標楷體" w:eastAsia="標楷體" w:hAnsi="標楷體" w:hint="eastAsia"/>
          <w:sz w:val="28"/>
          <w:szCs w:val="28"/>
        </w:rPr>
        <w:t>提供人員免受性騷擾之工作及服務環境，採取適當之預防、糾正、懲處及處理措施，以維護當事人權益及隱私。</w:t>
      </w:r>
    </w:p>
    <w:p w:rsidR="001408B3" w:rsidRPr="00281E3F" w:rsidRDefault="001408B3" w:rsidP="00BD40CC">
      <w:pPr>
        <w:pStyle w:val="3"/>
        <w:numPr>
          <w:ilvl w:val="0"/>
          <w:numId w:val="2"/>
        </w:numPr>
        <w:tabs>
          <w:tab w:val="clear" w:pos="1919"/>
          <w:tab w:val="num" w:pos="1440"/>
        </w:tabs>
        <w:spacing w:after="0" w:line="460" w:lineRule="exact"/>
        <w:ind w:leftChars="0"/>
        <w:jc w:val="both"/>
        <w:rPr>
          <w:rFonts w:ascii="標楷體" w:eastAsia="標楷體" w:hAnsi="標楷體" w:hint="eastAsia"/>
          <w:spacing w:val="20"/>
          <w:sz w:val="28"/>
          <w:szCs w:val="28"/>
        </w:rPr>
      </w:pPr>
      <w:r w:rsidRPr="00281E3F">
        <w:rPr>
          <w:rFonts w:ascii="標楷體" w:eastAsia="標楷體" w:hAnsi="標楷體" w:hint="eastAsia"/>
          <w:sz w:val="28"/>
          <w:szCs w:val="28"/>
        </w:rPr>
        <w:t>維護兩性工作平等及人格尊嚴。</w:t>
      </w:r>
    </w:p>
    <w:p w:rsidR="00BD40CC" w:rsidRPr="00281E3F" w:rsidRDefault="001408B3" w:rsidP="00BD7C19">
      <w:pPr>
        <w:pStyle w:val="3"/>
        <w:numPr>
          <w:ilvl w:val="0"/>
          <w:numId w:val="5"/>
        </w:numPr>
        <w:spacing w:after="0" w:line="460" w:lineRule="exact"/>
        <w:ind w:leftChars="0"/>
        <w:jc w:val="both"/>
        <w:rPr>
          <w:rFonts w:ascii="標楷體" w:eastAsia="標楷體" w:hAnsi="標楷體" w:hint="eastAsia"/>
          <w:sz w:val="28"/>
          <w:szCs w:val="28"/>
        </w:rPr>
      </w:pPr>
      <w:r w:rsidRPr="00281E3F">
        <w:rPr>
          <w:rFonts w:ascii="標楷體" w:eastAsia="標楷體" w:hAnsi="標楷體" w:hint="eastAsia"/>
          <w:sz w:val="28"/>
          <w:szCs w:val="28"/>
        </w:rPr>
        <w:t>依據：</w:t>
      </w:r>
      <w:r w:rsidR="005809A4" w:rsidRPr="00281E3F">
        <w:rPr>
          <w:rFonts w:ascii="標楷體" w:eastAsia="標楷體" w:hAnsi="標楷體"/>
          <w:sz w:val="28"/>
          <w:szCs w:val="28"/>
        </w:rPr>
        <w:t>性</w:t>
      </w:r>
      <w:r w:rsidR="0086743E" w:rsidRPr="00281E3F">
        <w:rPr>
          <w:rFonts w:ascii="標楷體" w:eastAsia="標楷體" w:hAnsi="標楷體" w:hint="eastAsia"/>
          <w:sz w:val="28"/>
          <w:szCs w:val="28"/>
        </w:rPr>
        <w:t>別</w:t>
      </w:r>
      <w:r w:rsidR="005809A4" w:rsidRPr="00281E3F">
        <w:rPr>
          <w:rFonts w:ascii="標楷體" w:eastAsia="標楷體" w:hAnsi="標楷體"/>
          <w:sz w:val="28"/>
          <w:szCs w:val="28"/>
        </w:rPr>
        <w:t>工作平等法第十三條、性騷擾防治法第七條、工作場所性騷擾防治措施申訴及</w:t>
      </w:r>
      <w:r w:rsidRPr="00281E3F">
        <w:rPr>
          <w:rFonts w:ascii="標楷體" w:eastAsia="標楷體" w:hAnsi="標楷體"/>
          <w:sz w:val="28"/>
          <w:szCs w:val="28"/>
        </w:rPr>
        <w:t>懲戒辦法訂定準則與性騷擾防治準則</w:t>
      </w:r>
      <w:r w:rsidRPr="00281E3F">
        <w:rPr>
          <w:rFonts w:ascii="標楷體" w:eastAsia="標楷體" w:hAnsi="標楷體" w:hint="eastAsia"/>
          <w:sz w:val="28"/>
          <w:szCs w:val="28"/>
        </w:rPr>
        <w:t>規定。</w:t>
      </w:r>
    </w:p>
    <w:p w:rsidR="001408B3" w:rsidRPr="00281E3F" w:rsidRDefault="001408B3" w:rsidP="00BD40CC">
      <w:pPr>
        <w:pStyle w:val="3"/>
        <w:numPr>
          <w:ilvl w:val="0"/>
          <w:numId w:val="5"/>
        </w:numPr>
        <w:spacing w:after="0" w:line="460" w:lineRule="exact"/>
        <w:ind w:leftChars="0"/>
        <w:jc w:val="both"/>
        <w:rPr>
          <w:rFonts w:ascii="標楷體" w:eastAsia="標楷體" w:hAnsi="標楷體" w:hint="eastAsia"/>
          <w:sz w:val="28"/>
          <w:szCs w:val="28"/>
        </w:rPr>
      </w:pPr>
      <w:r w:rsidRPr="00281E3F">
        <w:rPr>
          <w:rFonts w:ascii="標楷體" w:eastAsia="標楷體" w:hAnsi="標楷體" w:hint="eastAsia"/>
          <w:sz w:val="28"/>
          <w:szCs w:val="28"/>
        </w:rPr>
        <w:t>適用對象：</w:t>
      </w:r>
    </w:p>
    <w:p w:rsidR="001408B3" w:rsidRPr="00281E3F" w:rsidRDefault="00BD7C19" w:rsidP="00BD7C19">
      <w:pPr>
        <w:pStyle w:val="3"/>
        <w:spacing w:after="0" w:line="460" w:lineRule="exact"/>
        <w:ind w:left="1040" w:hangingChars="200" w:hanging="560"/>
        <w:jc w:val="both"/>
        <w:rPr>
          <w:rFonts w:ascii="標楷體" w:eastAsia="標楷體" w:hAnsi="標楷體" w:hint="eastAsia"/>
          <w:sz w:val="28"/>
          <w:szCs w:val="28"/>
        </w:rPr>
      </w:pPr>
      <w:r>
        <w:rPr>
          <w:rFonts w:ascii="標楷體" w:eastAsia="標楷體" w:hAnsi="標楷體" w:hint="eastAsia"/>
          <w:sz w:val="28"/>
          <w:szCs w:val="28"/>
        </w:rPr>
        <w:t>甲、</w:t>
      </w:r>
      <w:r w:rsidR="001408B3" w:rsidRPr="00281E3F">
        <w:rPr>
          <w:rFonts w:ascii="標楷體" w:eastAsia="標楷體" w:hAnsi="標楷體" w:hint="eastAsia"/>
          <w:sz w:val="28"/>
          <w:szCs w:val="28"/>
        </w:rPr>
        <w:t>本所員工相互間、員工與服務對象相互間或服務對象相互間發生之性騷擾事件。</w:t>
      </w:r>
    </w:p>
    <w:p w:rsidR="001408B3" w:rsidRPr="00281E3F" w:rsidRDefault="00BD7C19" w:rsidP="00BD7C19">
      <w:pPr>
        <w:pStyle w:val="3"/>
        <w:spacing w:after="0" w:line="460" w:lineRule="exact"/>
        <w:ind w:left="1040" w:hangingChars="200" w:hanging="560"/>
        <w:jc w:val="both"/>
        <w:rPr>
          <w:rFonts w:ascii="標楷體" w:eastAsia="標楷體" w:hAnsi="標楷體" w:hint="eastAsia"/>
          <w:sz w:val="28"/>
          <w:szCs w:val="28"/>
        </w:rPr>
      </w:pPr>
      <w:r>
        <w:rPr>
          <w:rFonts w:ascii="標楷體" w:eastAsia="標楷體" w:hAnsi="標楷體" w:hint="eastAsia"/>
          <w:sz w:val="28"/>
          <w:szCs w:val="28"/>
        </w:rPr>
        <w:t>乙、</w:t>
      </w:r>
      <w:r w:rsidR="001408B3" w:rsidRPr="00281E3F">
        <w:rPr>
          <w:rFonts w:ascii="標楷體" w:eastAsia="標楷體" w:hAnsi="標楷體" w:hint="eastAsia"/>
          <w:sz w:val="28"/>
          <w:szCs w:val="28"/>
        </w:rPr>
        <w:t>本所員工於工作時間、工作場所外，對不特定之個人有性別工作</w:t>
      </w:r>
      <w:r w:rsidR="0015700E" w:rsidRPr="00281E3F">
        <w:rPr>
          <w:rFonts w:ascii="標楷體" w:eastAsia="標楷體" w:hAnsi="標楷體" w:hint="eastAsia"/>
          <w:sz w:val="28"/>
          <w:szCs w:val="28"/>
        </w:rPr>
        <w:t>平等法及性騷擾防治法所定性騷擾之情形時，經被害人向本所申訴、本所</w:t>
      </w:r>
      <w:r w:rsidR="001408B3" w:rsidRPr="00281E3F">
        <w:rPr>
          <w:rFonts w:ascii="標楷體" w:eastAsia="標楷體" w:hAnsi="標楷體" w:hint="eastAsia"/>
          <w:sz w:val="28"/>
          <w:szCs w:val="28"/>
        </w:rPr>
        <w:t>所在地之主管機關或經警察機關移送時亦</w:t>
      </w:r>
      <w:r w:rsidR="0015700E" w:rsidRPr="00281E3F">
        <w:rPr>
          <w:rFonts w:ascii="標楷體" w:eastAsia="標楷體" w:hAnsi="標楷體" w:hint="eastAsia"/>
          <w:sz w:val="28"/>
          <w:szCs w:val="28"/>
        </w:rPr>
        <w:t>為</w:t>
      </w:r>
      <w:r w:rsidR="001408B3" w:rsidRPr="00281E3F">
        <w:rPr>
          <w:rFonts w:ascii="標楷體" w:eastAsia="標楷體" w:hAnsi="標楷體" w:hint="eastAsia"/>
          <w:sz w:val="28"/>
          <w:szCs w:val="28"/>
        </w:rPr>
        <w:t>適用之</w:t>
      </w:r>
      <w:r w:rsidR="0015700E" w:rsidRPr="00281E3F">
        <w:rPr>
          <w:rFonts w:ascii="標楷體" w:eastAsia="標楷體" w:hAnsi="標楷體" w:hint="eastAsia"/>
          <w:sz w:val="28"/>
          <w:szCs w:val="28"/>
        </w:rPr>
        <w:t>對象</w:t>
      </w:r>
      <w:r w:rsidR="001408B3" w:rsidRPr="00281E3F">
        <w:rPr>
          <w:rFonts w:ascii="標楷體" w:eastAsia="標楷體" w:hAnsi="標楷體" w:hint="eastAsia"/>
          <w:sz w:val="28"/>
          <w:szCs w:val="28"/>
        </w:rPr>
        <w:t>。</w:t>
      </w:r>
    </w:p>
    <w:p w:rsidR="00281E3F" w:rsidRDefault="0015700E" w:rsidP="00BD40CC">
      <w:pPr>
        <w:pStyle w:val="3"/>
        <w:numPr>
          <w:ilvl w:val="0"/>
          <w:numId w:val="5"/>
        </w:numPr>
        <w:spacing w:after="0" w:line="460" w:lineRule="exact"/>
        <w:ind w:leftChars="0" w:left="0" w:firstLine="0"/>
        <w:jc w:val="both"/>
        <w:rPr>
          <w:rFonts w:ascii="標楷體" w:eastAsia="標楷體" w:hAnsi="標楷體" w:hint="eastAsia"/>
          <w:sz w:val="28"/>
          <w:szCs w:val="28"/>
        </w:rPr>
      </w:pPr>
      <w:r w:rsidRPr="00281E3F">
        <w:rPr>
          <w:rFonts w:ascii="標楷體" w:eastAsia="標楷體" w:hAnsi="標楷體" w:hint="eastAsia"/>
          <w:sz w:val="28"/>
          <w:szCs w:val="28"/>
        </w:rPr>
        <w:t>性騷擾範圍界定：</w:t>
      </w:r>
      <w:r w:rsidR="00F56C7E" w:rsidRPr="00281E3F">
        <w:rPr>
          <w:rFonts w:ascii="標楷體" w:eastAsia="標楷體" w:hAnsi="標楷體" w:hint="eastAsia"/>
          <w:sz w:val="28"/>
          <w:szCs w:val="28"/>
        </w:rPr>
        <w:t>包含性別工作平等法第十二條及性騷擾防治法第二</w:t>
      </w:r>
    </w:p>
    <w:p w:rsidR="00F56C7E" w:rsidRPr="00281E3F" w:rsidRDefault="00F56C7E" w:rsidP="00281E3F">
      <w:pPr>
        <w:pStyle w:val="3"/>
        <w:spacing w:after="0" w:line="460" w:lineRule="exact"/>
        <w:ind w:leftChars="0" w:left="0" w:firstLineChars="250" w:firstLine="700"/>
        <w:jc w:val="both"/>
        <w:rPr>
          <w:rFonts w:ascii="標楷體" w:eastAsia="標楷體" w:hAnsi="標楷體" w:hint="eastAsia"/>
          <w:sz w:val="28"/>
          <w:szCs w:val="28"/>
        </w:rPr>
      </w:pPr>
      <w:r w:rsidRPr="00281E3F">
        <w:rPr>
          <w:rFonts w:ascii="標楷體" w:eastAsia="標楷體" w:hAnsi="標楷體" w:hint="eastAsia"/>
          <w:sz w:val="28"/>
          <w:szCs w:val="28"/>
        </w:rPr>
        <w:t>條規定各款情形。</w:t>
      </w:r>
    </w:p>
    <w:p w:rsidR="0015700E" w:rsidRPr="00281E3F" w:rsidRDefault="0015700E" w:rsidP="00BD40CC">
      <w:pPr>
        <w:pStyle w:val="3"/>
        <w:numPr>
          <w:ilvl w:val="0"/>
          <w:numId w:val="5"/>
        </w:numPr>
        <w:spacing w:after="0" w:line="460" w:lineRule="exact"/>
        <w:ind w:leftChars="0" w:left="0" w:firstLine="0"/>
        <w:jc w:val="both"/>
        <w:rPr>
          <w:rFonts w:ascii="標楷體" w:eastAsia="標楷體" w:hAnsi="標楷體" w:hint="eastAsia"/>
          <w:sz w:val="28"/>
          <w:szCs w:val="28"/>
        </w:rPr>
      </w:pPr>
      <w:r w:rsidRPr="00281E3F">
        <w:rPr>
          <w:rFonts w:ascii="標楷體" w:eastAsia="標楷體" w:hAnsi="標楷體" w:hint="eastAsia"/>
          <w:sz w:val="28"/>
          <w:szCs w:val="28"/>
        </w:rPr>
        <w:t>性騷擾防治措施：</w:t>
      </w:r>
    </w:p>
    <w:p w:rsidR="0015700E" w:rsidRPr="00281E3F" w:rsidRDefault="00BD7C19" w:rsidP="00BD7C19">
      <w:pPr>
        <w:pStyle w:val="3"/>
        <w:spacing w:after="0" w:line="460" w:lineRule="exact"/>
        <w:ind w:leftChars="116" w:left="1118" w:hangingChars="300" w:hanging="840"/>
        <w:jc w:val="both"/>
        <w:rPr>
          <w:rFonts w:ascii="標楷體" w:eastAsia="標楷體" w:hAnsi="標楷體" w:hint="eastAsia"/>
          <w:sz w:val="28"/>
          <w:szCs w:val="28"/>
        </w:rPr>
      </w:pPr>
      <w:r>
        <w:rPr>
          <w:rFonts w:ascii="標楷體" w:eastAsia="標楷體" w:hAnsi="標楷體" w:hint="eastAsia"/>
          <w:sz w:val="28"/>
          <w:szCs w:val="28"/>
        </w:rPr>
        <w:t>（一）</w:t>
      </w:r>
      <w:r w:rsidR="0015700E" w:rsidRPr="00281E3F">
        <w:rPr>
          <w:rFonts w:ascii="標楷體" w:eastAsia="標楷體" w:hAnsi="標楷體" w:hint="eastAsia"/>
          <w:sz w:val="28"/>
          <w:szCs w:val="28"/>
        </w:rPr>
        <w:t>設置性騷擾申訴之專線電話</w:t>
      </w:r>
      <w:r w:rsidR="0000672E">
        <w:rPr>
          <w:rFonts w:ascii="標楷體" w:eastAsia="標楷體" w:hAnsi="標楷體" w:hint="eastAsia"/>
          <w:sz w:val="28"/>
          <w:szCs w:val="28"/>
        </w:rPr>
        <w:t>:04-26627104</w:t>
      </w:r>
      <w:r w:rsidR="0015700E" w:rsidRPr="00281E3F">
        <w:rPr>
          <w:rFonts w:ascii="標楷體" w:eastAsia="標楷體" w:hAnsi="標楷體" w:hint="eastAsia"/>
          <w:sz w:val="28"/>
          <w:szCs w:val="28"/>
        </w:rPr>
        <w:t>、傳真</w:t>
      </w:r>
      <w:r w:rsidR="0000672E">
        <w:rPr>
          <w:rFonts w:ascii="標楷體" w:eastAsia="標楷體" w:hAnsi="標楷體" w:hint="eastAsia"/>
          <w:sz w:val="28"/>
          <w:szCs w:val="28"/>
        </w:rPr>
        <w:t>04-26652409</w:t>
      </w:r>
      <w:r w:rsidR="0015700E" w:rsidRPr="00281E3F">
        <w:rPr>
          <w:rFonts w:ascii="標楷體" w:eastAsia="標楷體" w:hAnsi="標楷體" w:hint="eastAsia"/>
          <w:sz w:val="28"/>
          <w:szCs w:val="28"/>
        </w:rPr>
        <w:t>、專用信箱或電子信箱</w:t>
      </w:r>
      <w:r w:rsidR="0000672E">
        <w:rPr>
          <w:rFonts w:ascii="標楷體" w:eastAsia="標楷體" w:hAnsi="標楷體" w:hint="eastAsia"/>
          <w:sz w:val="28"/>
          <w:szCs w:val="28"/>
        </w:rPr>
        <w:t>tchg009@ms17.hinet.net</w:t>
      </w:r>
      <w:r w:rsidR="0015700E" w:rsidRPr="00281E3F">
        <w:rPr>
          <w:rFonts w:ascii="標楷體" w:eastAsia="標楷體" w:hAnsi="標楷體" w:hint="eastAsia"/>
          <w:sz w:val="28"/>
          <w:szCs w:val="28"/>
        </w:rPr>
        <w:t>，並於佈告欄及本所網站公告之。</w:t>
      </w:r>
    </w:p>
    <w:p w:rsidR="00281E3F" w:rsidRDefault="0015700E" w:rsidP="00BD40CC">
      <w:pPr>
        <w:pStyle w:val="3"/>
        <w:spacing w:after="0" w:line="460" w:lineRule="exact"/>
        <w:ind w:leftChars="0" w:left="0" w:firstLineChars="128" w:firstLine="358"/>
        <w:jc w:val="both"/>
        <w:rPr>
          <w:rFonts w:ascii="標楷體" w:eastAsia="標楷體" w:hAnsi="標楷體" w:hint="eastAsia"/>
          <w:sz w:val="28"/>
          <w:szCs w:val="28"/>
        </w:rPr>
      </w:pPr>
      <w:r w:rsidRPr="00281E3F">
        <w:rPr>
          <w:rFonts w:ascii="標楷體" w:eastAsia="標楷體" w:hAnsi="標楷體" w:hint="eastAsia"/>
          <w:sz w:val="28"/>
          <w:szCs w:val="28"/>
        </w:rPr>
        <w:t>（二）</w:t>
      </w:r>
      <w:r w:rsidR="00F56C7E" w:rsidRPr="00281E3F">
        <w:rPr>
          <w:rFonts w:ascii="標楷體" w:eastAsia="標楷體" w:hAnsi="標楷體" w:hint="eastAsia"/>
          <w:sz w:val="28"/>
          <w:szCs w:val="28"/>
        </w:rPr>
        <w:t>利用集會及文宣等各種傳遞訊息方式，加強員工有關性騷擾防治</w:t>
      </w:r>
    </w:p>
    <w:p w:rsidR="00281E3F" w:rsidRDefault="00F56C7E" w:rsidP="00281E3F">
      <w:pPr>
        <w:pStyle w:val="3"/>
        <w:spacing w:after="0" w:line="460" w:lineRule="exact"/>
        <w:ind w:leftChars="0" w:left="0" w:firstLineChars="427" w:firstLine="1196"/>
        <w:jc w:val="both"/>
        <w:rPr>
          <w:rFonts w:ascii="標楷體" w:eastAsia="標楷體" w:hAnsi="標楷體" w:hint="eastAsia"/>
          <w:sz w:val="28"/>
          <w:szCs w:val="28"/>
        </w:rPr>
      </w:pPr>
      <w:r w:rsidRPr="00281E3F">
        <w:rPr>
          <w:rFonts w:ascii="標楷體" w:eastAsia="標楷體" w:hAnsi="標楷體" w:hint="eastAsia"/>
          <w:sz w:val="28"/>
          <w:szCs w:val="28"/>
        </w:rPr>
        <w:t>措施及申訴管道之宣傳，並於各種訓練、講習課程中，適當規劃</w:t>
      </w:r>
    </w:p>
    <w:p w:rsidR="00F56C7E" w:rsidRPr="00281E3F" w:rsidRDefault="00F56C7E" w:rsidP="00281E3F">
      <w:pPr>
        <w:pStyle w:val="3"/>
        <w:spacing w:after="0" w:line="460" w:lineRule="exact"/>
        <w:ind w:leftChars="0" w:left="0" w:firstLineChars="427" w:firstLine="1196"/>
        <w:jc w:val="both"/>
        <w:rPr>
          <w:rFonts w:ascii="標楷體" w:eastAsia="標楷體" w:hAnsi="標楷體" w:hint="eastAsia"/>
          <w:sz w:val="28"/>
          <w:szCs w:val="28"/>
        </w:rPr>
      </w:pPr>
      <w:r w:rsidRPr="00281E3F">
        <w:rPr>
          <w:rFonts w:ascii="標楷體" w:eastAsia="標楷體" w:hAnsi="標楷體" w:hint="eastAsia"/>
          <w:sz w:val="28"/>
          <w:szCs w:val="28"/>
        </w:rPr>
        <w:t>防治性騷擾之相關課程。</w:t>
      </w:r>
    </w:p>
    <w:p w:rsidR="00F56C7E" w:rsidRPr="00281E3F" w:rsidRDefault="0015700E" w:rsidP="00BD40CC">
      <w:pPr>
        <w:widowControl/>
        <w:overflowPunct w:val="0"/>
        <w:autoSpaceDE w:val="0"/>
        <w:autoSpaceDN w:val="0"/>
        <w:adjustRightInd w:val="0"/>
        <w:spacing w:line="460" w:lineRule="exact"/>
        <w:jc w:val="both"/>
        <w:textAlignment w:val="baseline"/>
        <w:rPr>
          <w:rFonts w:ascii="標楷體" w:eastAsia="標楷體" w:hAnsi="標楷體" w:hint="eastAsia"/>
          <w:sz w:val="28"/>
          <w:szCs w:val="28"/>
        </w:rPr>
      </w:pPr>
      <w:r w:rsidRPr="00281E3F">
        <w:rPr>
          <w:rFonts w:ascii="標楷體" w:eastAsia="標楷體" w:hAnsi="標楷體" w:hint="eastAsia"/>
          <w:sz w:val="28"/>
          <w:szCs w:val="28"/>
        </w:rPr>
        <w:t>六、申訴及懲處之處理：</w:t>
      </w:r>
    </w:p>
    <w:p w:rsidR="00F56C7E" w:rsidRPr="00281E3F" w:rsidRDefault="00BD7C19" w:rsidP="00BD7C19">
      <w:pPr>
        <w:widowControl/>
        <w:overflowPunct w:val="0"/>
        <w:autoSpaceDE w:val="0"/>
        <w:autoSpaceDN w:val="0"/>
        <w:adjustRightInd w:val="0"/>
        <w:spacing w:line="460" w:lineRule="exact"/>
        <w:ind w:firstLineChars="177" w:firstLine="496"/>
        <w:jc w:val="both"/>
        <w:rPr>
          <w:rFonts w:ascii="標楷體" w:eastAsia="標楷體" w:hAnsi="標楷體" w:hint="eastAsia"/>
          <w:sz w:val="28"/>
          <w:szCs w:val="28"/>
        </w:rPr>
      </w:pPr>
      <w:r>
        <w:rPr>
          <w:rFonts w:ascii="標楷體" w:eastAsia="標楷體" w:hAnsi="標楷體" w:hint="eastAsia"/>
          <w:sz w:val="28"/>
          <w:szCs w:val="28"/>
        </w:rPr>
        <w:t>（一）</w:t>
      </w:r>
      <w:r w:rsidR="00F56C7E" w:rsidRPr="00281E3F">
        <w:rPr>
          <w:rFonts w:ascii="標楷體" w:eastAsia="標楷體" w:hAnsi="標楷體" w:hint="eastAsia"/>
          <w:sz w:val="28"/>
          <w:szCs w:val="28"/>
        </w:rPr>
        <w:t>性騷擾事件申訴之處理以不公開方式為之。</w:t>
      </w:r>
    </w:p>
    <w:p w:rsidR="00BD40CC" w:rsidRDefault="00BD7C19" w:rsidP="00BD7C19">
      <w:pPr>
        <w:pStyle w:val="a6"/>
        <w:spacing w:line="460" w:lineRule="exact"/>
        <w:ind w:leftChars="208" w:left="1339" w:hangingChars="300" w:hanging="840"/>
        <w:rPr>
          <w:rFonts w:ascii="標楷體" w:hAnsi="標楷體" w:hint="eastAsia"/>
          <w:b w:val="0"/>
          <w:sz w:val="28"/>
          <w:szCs w:val="28"/>
        </w:rPr>
      </w:pPr>
      <w:r>
        <w:rPr>
          <w:rFonts w:ascii="標楷體" w:hAnsi="標楷體" w:hint="eastAsia"/>
          <w:b w:val="0"/>
          <w:sz w:val="28"/>
          <w:szCs w:val="28"/>
        </w:rPr>
        <w:t>（二）</w:t>
      </w:r>
      <w:r w:rsidR="0015700E" w:rsidRPr="00281E3F">
        <w:rPr>
          <w:rFonts w:ascii="標楷體" w:hAnsi="標楷體" w:hint="eastAsia"/>
          <w:b w:val="0"/>
          <w:sz w:val="28"/>
          <w:szCs w:val="28"/>
        </w:rPr>
        <w:t>本所</w:t>
      </w:r>
      <w:r w:rsidR="00F56C7E" w:rsidRPr="00281E3F">
        <w:rPr>
          <w:rFonts w:ascii="標楷體" w:hAnsi="標楷體" w:hint="eastAsia"/>
          <w:b w:val="0"/>
          <w:sz w:val="28"/>
          <w:szCs w:val="28"/>
        </w:rPr>
        <w:t>處</w:t>
      </w:r>
      <w:r w:rsidR="00AB02F3" w:rsidRPr="00281E3F">
        <w:rPr>
          <w:rFonts w:ascii="標楷體" w:hAnsi="標楷體" w:hint="eastAsia"/>
          <w:b w:val="0"/>
          <w:sz w:val="28"/>
          <w:szCs w:val="28"/>
        </w:rPr>
        <w:t>理受害人</w:t>
      </w:r>
      <w:r w:rsidR="00F56C7E" w:rsidRPr="00281E3F">
        <w:rPr>
          <w:rFonts w:ascii="標楷體" w:hAnsi="標楷體" w:hint="eastAsia"/>
          <w:b w:val="0"/>
          <w:sz w:val="28"/>
          <w:szCs w:val="28"/>
        </w:rPr>
        <w:t>之申訴，應</w:t>
      </w:r>
      <w:r w:rsidR="0015700E" w:rsidRPr="00281E3F">
        <w:rPr>
          <w:rFonts w:ascii="標楷體" w:hAnsi="標楷體" w:hint="eastAsia"/>
          <w:b w:val="0"/>
          <w:sz w:val="28"/>
          <w:szCs w:val="28"/>
        </w:rPr>
        <w:t>由秘書兼政風人員</w:t>
      </w:r>
      <w:r w:rsidR="00AB02F3" w:rsidRPr="00281E3F">
        <w:rPr>
          <w:rFonts w:ascii="標楷體" w:hAnsi="標楷體" w:hint="eastAsia"/>
          <w:b w:val="0"/>
          <w:sz w:val="28"/>
          <w:szCs w:val="28"/>
        </w:rPr>
        <w:t>調查，並將調查報告，提交本所兼性騷擾申訴處理調</w:t>
      </w:r>
      <w:r w:rsidR="00BD40CC" w:rsidRPr="00281E3F">
        <w:rPr>
          <w:rFonts w:ascii="標楷體" w:hAnsi="標楷體" w:cs="細明體" w:hint="eastAsia"/>
          <w:b w:val="0"/>
          <w:sz w:val="28"/>
          <w:szCs w:val="28"/>
        </w:rPr>
        <w:t>查</w:t>
      </w:r>
      <w:r w:rsidR="00AB02F3" w:rsidRPr="00281E3F">
        <w:rPr>
          <w:rFonts w:ascii="標楷體" w:hAnsi="標楷體" w:hint="eastAsia"/>
          <w:b w:val="0"/>
          <w:sz w:val="28"/>
          <w:szCs w:val="28"/>
        </w:rPr>
        <w:t>之考績委員會依規定審議</w:t>
      </w:r>
      <w:r w:rsidR="00865946" w:rsidRPr="00281E3F">
        <w:rPr>
          <w:rFonts w:ascii="標楷體" w:hAnsi="標楷體" w:hint="eastAsia"/>
          <w:b w:val="0"/>
          <w:sz w:val="28"/>
          <w:szCs w:val="28"/>
        </w:rPr>
        <w:t>後報主任核定</w:t>
      </w:r>
      <w:r w:rsidR="00AB02F3" w:rsidRPr="00281E3F">
        <w:rPr>
          <w:rFonts w:ascii="標楷體" w:hAnsi="標楷體" w:hint="eastAsia"/>
          <w:b w:val="0"/>
          <w:sz w:val="28"/>
          <w:szCs w:val="28"/>
        </w:rPr>
        <w:t>。</w:t>
      </w:r>
    </w:p>
    <w:p w:rsidR="00F56C7E" w:rsidRDefault="00BD7C19" w:rsidP="00BD7C19">
      <w:pPr>
        <w:pStyle w:val="a6"/>
        <w:spacing w:line="460" w:lineRule="exact"/>
        <w:ind w:leftChars="208" w:left="1339" w:hangingChars="300" w:hanging="840"/>
        <w:rPr>
          <w:rFonts w:ascii="標楷體" w:hAnsi="標楷體" w:cs="細明體" w:hint="eastAsia"/>
          <w:b w:val="0"/>
          <w:sz w:val="28"/>
          <w:szCs w:val="28"/>
        </w:rPr>
      </w:pPr>
      <w:r>
        <w:rPr>
          <w:rFonts w:ascii="標楷體" w:hAnsi="標楷體" w:hint="eastAsia"/>
          <w:b w:val="0"/>
          <w:sz w:val="28"/>
          <w:szCs w:val="28"/>
        </w:rPr>
        <w:t>（三）</w:t>
      </w:r>
      <w:r w:rsidR="00F56C7E" w:rsidRPr="00281E3F">
        <w:rPr>
          <w:rFonts w:ascii="標楷體" w:hAnsi="標楷體" w:hint="eastAsia"/>
          <w:b w:val="0"/>
          <w:sz w:val="28"/>
          <w:szCs w:val="28"/>
        </w:rPr>
        <w:t>參與申訴案件處理、調查、審議、說明之人員，對於案件內容負有保密之責</w:t>
      </w:r>
      <w:r w:rsidR="00865946" w:rsidRPr="00281E3F">
        <w:rPr>
          <w:rFonts w:ascii="標楷體" w:hAnsi="標楷體" w:hint="eastAsia"/>
          <w:b w:val="0"/>
          <w:sz w:val="28"/>
          <w:szCs w:val="28"/>
        </w:rPr>
        <w:t>任，違反規定者，召集人應立即終止其參與外，並得視情節輕重，簽報主任</w:t>
      </w:r>
      <w:r w:rsidR="00F56C7E" w:rsidRPr="00281E3F">
        <w:rPr>
          <w:rFonts w:ascii="標楷體" w:hAnsi="標楷體" w:hint="eastAsia"/>
          <w:b w:val="0"/>
          <w:sz w:val="28"/>
          <w:szCs w:val="28"/>
        </w:rPr>
        <w:t>長依規定辦理懲處</w:t>
      </w:r>
      <w:r w:rsidR="00865946" w:rsidRPr="00281E3F">
        <w:rPr>
          <w:rFonts w:ascii="標楷體" w:hAnsi="標楷體" w:cs="細明體" w:hint="eastAsia"/>
          <w:b w:val="0"/>
          <w:sz w:val="28"/>
          <w:szCs w:val="28"/>
        </w:rPr>
        <w:t>。具考績委員會</w:t>
      </w:r>
      <w:r w:rsidR="00F56C7E" w:rsidRPr="00281E3F">
        <w:rPr>
          <w:rFonts w:ascii="標楷體" w:hAnsi="標楷體" w:cs="細明體" w:hint="eastAsia"/>
          <w:b w:val="0"/>
          <w:sz w:val="28"/>
          <w:szCs w:val="28"/>
        </w:rPr>
        <w:t>委員</w:t>
      </w:r>
      <w:r w:rsidR="00865946" w:rsidRPr="00281E3F">
        <w:rPr>
          <w:rFonts w:ascii="標楷體" w:hAnsi="標楷體" w:hint="eastAsia"/>
          <w:b w:val="0"/>
          <w:sz w:val="28"/>
          <w:szCs w:val="28"/>
        </w:rPr>
        <w:t>身分者，並應報請主任</w:t>
      </w:r>
      <w:r w:rsidR="00F56C7E" w:rsidRPr="00281E3F">
        <w:rPr>
          <w:rFonts w:ascii="標楷體" w:hAnsi="標楷體" w:hint="eastAsia"/>
          <w:b w:val="0"/>
          <w:sz w:val="28"/>
          <w:szCs w:val="28"/>
        </w:rPr>
        <w:t>解除其委員職務</w:t>
      </w:r>
      <w:r w:rsidR="00F56C7E" w:rsidRPr="00281E3F">
        <w:rPr>
          <w:rFonts w:ascii="標楷體" w:hAnsi="標楷體" w:cs="細明體" w:hint="eastAsia"/>
          <w:b w:val="0"/>
          <w:sz w:val="28"/>
          <w:szCs w:val="28"/>
        </w:rPr>
        <w:t>。</w:t>
      </w:r>
    </w:p>
    <w:p w:rsidR="00C62FFE" w:rsidRDefault="00BD7C19" w:rsidP="00BD7C19">
      <w:pPr>
        <w:pStyle w:val="a6"/>
        <w:spacing w:line="460" w:lineRule="exact"/>
        <w:ind w:leftChars="208" w:left="1339" w:hangingChars="300" w:hanging="840"/>
        <w:rPr>
          <w:rFonts w:ascii="標楷體" w:hAnsi="標楷體" w:hint="eastAsia"/>
          <w:b w:val="0"/>
          <w:sz w:val="28"/>
          <w:szCs w:val="28"/>
        </w:rPr>
      </w:pPr>
      <w:r>
        <w:rPr>
          <w:rFonts w:ascii="標楷體" w:hAnsi="標楷體" w:cs="細明體" w:hint="eastAsia"/>
          <w:b w:val="0"/>
          <w:sz w:val="28"/>
          <w:szCs w:val="28"/>
        </w:rPr>
        <w:lastRenderedPageBreak/>
        <w:t>（四）</w:t>
      </w:r>
      <w:r w:rsidR="00F56C7E" w:rsidRPr="00281E3F">
        <w:rPr>
          <w:rFonts w:ascii="標楷體" w:hAnsi="標楷體" w:hint="eastAsia"/>
          <w:b w:val="0"/>
          <w:sz w:val="28"/>
          <w:szCs w:val="28"/>
        </w:rPr>
        <w:t>申訴案經決定後，當事人對該決定有異議者，得</w:t>
      </w:r>
      <w:r w:rsidR="00865946" w:rsidRPr="00281E3F">
        <w:rPr>
          <w:rFonts w:ascii="標楷體" w:hAnsi="標楷體" w:hint="eastAsia"/>
          <w:b w:val="0"/>
          <w:sz w:val="28"/>
          <w:szCs w:val="28"/>
        </w:rPr>
        <w:t>於接獲申訴決定書之日起，十</w:t>
      </w:r>
      <w:r w:rsidR="00F56C7E" w:rsidRPr="00281E3F">
        <w:rPr>
          <w:rFonts w:ascii="標楷體" w:hAnsi="標楷體" w:hint="eastAsia"/>
          <w:b w:val="0"/>
          <w:sz w:val="28"/>
          <w:szCs w:val="28"/>
        </w:rPr>
        <w:t>日內向</w:t>
      </w:r>
      <w:r w:rsidR="00865946" w:rsidRPr="00281E3F">
        <w:rPr>
          <w:rFonts w:ascii="標楷體" w:hAnsi="標楷體" w:hint="eastAsia"/>
          <w:b w:val="0"/>
          <w:sz w:val="28"/>
          <w:szCs w:val="28"/>
        </w:rPr>
        <w:t>考績委員會(</w:t>
      </w:r>
      <w:r w:rsidR="00F56C7E" w:rsidRPr="00281E3F">
        <w:rPr>
          <w:rFonts w:ascii="標楷體" w:hAnsi="標楷體" w:hint="eastAsia"/>
          <w:b w:val="0"/>
          <w:sz w:val="28"/>
          <w:szCs w:val="28"/>
        </w:rPr>
        <w:t>申訴會</w:t>
      </w:r>
      <w:r w:rsidR="00865946" w:rsidRPr="00281E3F">
        <w:rPr>
          <w:rFonts w:ascii="標楷體" w:hAnsi="標楷體" w:hint="eastAsia"/>
          <w:b w:val="0"/>
          <w:sz w:val="28"/>
          <w:szCs w:val="28"/>
        </w:rPr>
        <w:t>)</w:t>
      </w:r>
      <w:r w:rsidR="00F56C7E" w:rsidRPr="00281E3F">
        <w:rPr>
          <w:rFonts w:ascii="標楷體" w:hAnsi="標楷體" w:hint="eastAsia"/>
          <w:b w:val="0"/>
          <w:sz w:val="28"/>
          <w:szCs w:val="28"/>
        </w:rPr>
        <w:t>提</w:t>
      </w:r>
      <w:r w:rsidR="00865946" w:rsidRPr="00281E3F">
        <w:rPr>
          <w:rFonts w:ascii="標楷體" w:hAnsi="標楷體" w:hint="eastAsia"/>
          <w:b w:val="0"/>
          <w:sz w:val="28"/>
          <w:szCs w:val="28"/>
        </w:rPr>
        <w:t>出申覆。但申覆事由發生在後或知悉在後，應自當事人知悉之日起算；申覆應以書面敘明理由連同原申訴決定書影本，向</w:t>
      </w:r>
      <w:r w:rsidR="00BD40CC" w:rsidRPr="00281E3F">
        <w:rPr>
          <w:rFonts w:ascii="標楷體" w:hAnsi="標楷體" w:hint="eastAsia"/>
          <w:b w:val="0"/>
          <w:sz w:val="28"/>
          <w:szCs w:val="28"/>
        </w:rPr>
        <w:t>考績委員會（</w:t>
      </w:r>
      <w:r w:rsidR="00865946" w:rsidRPr="00281E3F">
        <w:rPr>
          <w:rFonts w:ascii="標楷體" w:hAnsi="標楷體" w:hint="eastAsia"/>
          <w:b w:val="0"/>
          <w:sz w:val="28"/>
          <w:szCs w:val="28"/>
        </w:rPr>
        <w:t>申訴會</w:t>
      </w:r>
      <w:r w:rsidR="00BD40CC" w:rsidRPr="00281E3F">
        <w:rPr>
          <w:rFonts w:ascii="標楷體" w:hAnsi="標楷體"/>
          <w:b w:val="0"/>
          <w:sz w:val="28"/>
          <w:szCs w:val="28"/>
        </w:rPr>
        <w:t>）</w:t>
      </w:r>
      <w:r w:rsidR="00865946" w:rsidRPr="00281E3F">
        <w:rPr>
          <w:rFonts w:ascii="標楷體" w:hAnsi="標楷體" w:hint="eastAsia"/>
          <w:b w:val="0"/>
          <w:sz w:val="28"/>
          <w:szCs w:val="28"/>
        </w:rPr>
        <w:t>提出；考績委員會(</w:t>
      </w:r>
      <w:r w:rsidR="00F56C7E" w:rsidRPr="00281E3F">
        <w:rPr>
          <w:rFonts w:ascii="標楷體" w:hAnsi="標楷體" w:hint="eastAsia"/>
          <w:b w:val="0"/>
          <w:sz w:val="28"/>
          <w:szCs w:val="28"/>
        </w:rPr>
        <w:t>申訴會</w:t>
      </w:r>
      <w:r w:rsidR="00865946" w:rsidRPr="00281E3F">
        <w:rPr>
          <w:rFonts w:ascii="標楷體" w:hAnsi="標楷體" w:hint="eastAsia"/>
          <w:b w:val="0"/>
          <w:sz w:val="28"/>
          <w:szCs w:val="28"/>
        </w:rPr>
        <w:t>)</w:t>
      </w:r>
      <w:r w:rsidR="00F56C7E" w:rsidRPr="00281E3F">
        <w:rPr>
          <w:rFonts w:ascii="標楷體" w:hAnsi="標楷體" w:hint="eastAsia"/>
          <w:b w:val="0"/>
          <w:sz w:val="28"/>
          <w:szCs w:val="28"/>
        </w:rPr>
        <w:t>認為申覆無理由者，應維持原申訴決定；有理由應變更原申訴決定者，應通知當事人。</w:t>
      </w:r>
    </w:p>
    <w:p w:rsidR="00F56C7E" w:rsidRDefault="00BD7C19" w:rsidP="00BD7C19">
      <w:pPr>
        <w:pStyle w:val="a6"/>
        <w:spacing w:line="460" w:lineRule="exact"/>
        <w:ind w:leftChars="208" w:left="1339" w:hangingChars="300" w:hanging="840"/>
        <w:rPr>
          <w:rFonts w:ascii="標楷體" w:hAnsi="標楷體" w:hint="eastAsia"/>
          <w:b w:val="0"/>
          <w:sz w:val="28"/>
          <w:szCs w:val="28"/>
        </w:rPr>
      </w:pPr>
      <w:r>
        <w:rPr>
          <w:rFonts w:ascii="標楷體" w:hAnsi="標楷體" w:hint="eastAsia"/>
          <w:b w:val="0"/>
          <w:sz w:val="28"/>
          <w:szCs w:val="28"/>
        </w:rPr>
        <w:t>（五）</w:t>
      </w:r>
      <w:r w:rsidR="00C62FFE" w:rsidRPr="00281E3F">
        <w:rPr>
          <w:rFonts w:ascii="標楷體" w:hAnsi="標楷體" w:hint="eastAsia"/>
          <w:b w:val="0"/>
          <w:sz w:val="28"/>
          <w:szCs w:val="28"/>
        </w:rPr>
        <w:t>逾期未完成調查或當事人不服其調查結果</w:t>
      </w:r>
      <w:r w:rsidR="00BD40CC" w:rsidRPr="00281E3F">
        <w:rPr>
          <w:rFonts w:ascii="標楷體" w:hAnsi="標楷體" w:hint="eastAsia"/>
          <w:b w:val="0"/>
          <w:sz w:val="28"/>
          <w:szCs w:val="28"/>
        </w:rPr>
        <w:t>者，當事人得於期限屆滿或調查結果通知到達之次日起三十日內，向本所</w:t>
      </w:r>
      <w:r w:rsidR="00C62FFE" w:rsidRPr="00281E3F">
        <w:rPr>
          <w:rFonts w:ascii="標楷體" w:hAnsi="標楷體" w:hint="eastAsia"/>
          <w:b w:val="0"/>
          <w:sz w:val="28"/>
          <w:szCs w:val="28"/>
        </w:rPr>
        <w:t>之主管機關提出再申訴。</w:t>
      </w:r>
    </w:p>
    <w:p w:rsidR="00F56C7E" w:rsidRPr="00DA50F2" w:rsidRDefault="00BD7C19" w:rsidP="00BD7C19">
      <w:pPr>
        <w:pStyle w:val="a6"/>
        <w:spacing w:line="460" w:lineRule="exact"/>
        <w:ind w:leftChars="207" w:left="1301" w:hangingChars="287" w:hanging="804"/>
        <w:rPr>
          <w:b w:val="0"/>
          <w:sz w:val="28"/>
          <w:szCs w:val="28"/>
        </w:rPr>
      </w:pPr>
      <w:r w:rsidRPr="00BD7C19">
        <w:rPr>
          <w:rFonts w:hint="eastAsia"/>
          <w:b w:val="0"/>
          <w:sz w:val="28"/>
          <w:szCs w:val="28"/>
        </w:rPr>
        <w:t>（六）</w:t>
      </w:r>
      <w:r w:rsidR="00BD40CC" w:rsidRPr="00DA50F2">
        <w:rPr>
          <w:rFonts w:hint="eastAsia"/>
          <w:b w:val="0"/>
          <w:sz w:val="28"/>
          <w:szCs w:val="28"/>
        </w:rPr>
        <w:t>本所秘書兼研考人員對性騷擾申訴案件應確實追蹤</w:t>
      </w:r>
      <w:r w:rsidR="00F56C7E" w:rsidRPr="00DA50F2">
        <w:rPr>
          <w:rFonts w:hint="eastAsia"/>
          <w:b w:val="0"/>
          <w:sz w:val="28"/>
          <w:szCs w:val="28"/>
        </w:rPr>
        <w:t>，確保申訴</w:t>
      </w:r>
      <w:r w:rsidR="00BD40CC" w:rsidRPr="00DA50F2">
        <w:rPr>
          <w:rFonts w:hint="eastAsia"/>
          <w:b w:val="0"/>
          <w:sz w:val="28"/>
          <w:szCs w:val="28"/>
        </w:rPr>
        <w:t>適時</w:t>
      </w:r>
      <w:r w:rsidR="00F56C7E" w:rsidRPr="00DA50F2">
        <w:rPr>
          <w:rFonts w:hint="eastAsia"/>
          <w:b w:val="0"/>
          <w:sz w:val="28"/>
          <w:szCs w:val="28"/>
        </w:rPr>
        <w:t>決定</w:t>
      </w:r>
      <w:r w:rsidR="00BD40CC" w:rsidRPr="00DA50F2">
        <w:rPr>
          <w:rFonts w:hint="eastAsia"/>
          <w:b w:val="0"/>
          <w:sz w:val="28"/>
          <w:szCs w:val="28"/>
        </w:rPr>
        <w:t>並</w:t>
      </w:r>
      <w:r w:rsidR="00F56C7E" w:rsidRPr="00DA50F2">
        <w:rPr>
          <w:rFonts w:hint="eastAsia"/>
          <w:b w:val="0"/>
          <w:sz w:val="28"/>
          <w:szCs w:val="28"/>
        </w:rPr>
        <w:t>有效執行，並避免相同事件或報復情事發生。</w:t>
      </w:r>
    </w:p>
    <w:p w:rsidR="00BD40CC" w:rsidRPr="00281E3F" w:rsidRDefault="00BD40CC" w:rsidP="00BD40CC">
      <w:pPr>
        <w:pStyle w:val="3"/>
        <w:spacing w:after="0" w:line="460" w:lineRule="exact"/>
        <w:ind w:leftChars="0" w:left="1260" w:hangingChars="450" w:hanging="1260"/>
        <w:jc w:val="both"/>
        <w:rPr>
          <w:rFonts w:ascii="標楷體" w:eastAsia="標楷體" w:hAnsi="標楷體" w:hint="eastAsia"/>
          <w:sz w:val="28"/>
          <w:szCs w:val="28"/>
        </w:rPr>
      </w:pPr>
      <w:r w:rsidRPr="00281E3F">
        <w:rPr>
          <w:rFonts w:ascii="標楷體" w:eastAsia="標楷體" w:hAnsi="標楷體" w:hint="eastAsia"/>
          <w:sz w:val="28"/>
          <w:szCs w:val="28"/>
        </w:rPr>
        <w:t>七、其他：本所有關性騷擾事件防治、申訴及懲處之處理，除法令另有規定外，依本作業規定辦理。</w:t>
      </w:r>
    </w:p>
    <w:p w:rsidR="00F56C7E" w:rsidRPr="00281E3F" w:rsidRDefault="00287BFA" w:rsidP="00287BFA">
      <w:pPr>
        <w:spacing w:line="460" w:lineRule="exact"/>
        <w:ind w:left="720" w:hangingChars="300" w:hanging="720"/>
        <w:jc w:val="both"/>
        <w:rPr>
          <w:rFonts w:ascii="標楷體" w:eastAsia="標楷體" w:hAnsi="標楷體" w:hint="eastAsia"/>
          <w:sz w:val="28"/>
          <w:szCs w:val="28"/>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102.4pt;margin-top:44.1pt;width:254.7pt;height:196.8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stroked="f">
            <v:textbox>
              <w:txbxContent>
                <w:p w:rsidR="00287BFA" w:rsidRDefault="00287BFA">
                  <w:r w:rsidRPr="00B756A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pt;height:215.2pt">
                        <v:imagedata r:id="rId7" o:title="性騷擾宣導圖案coun03-1"/>
                      </v:shape>
                    </w:pict>
                  </w:r>
                </w:p>
              </w:txbxContent>
            </v:textbox>
          </v:shape>
        </w:pict>
      </w:r>
      <w:r w:rsidR="00BD40CC" w:rsidRPr="00281E3F">
        <w:rPr>
          <w:rFonts w:ascii="標楷體" w:eastAsia="標楷體" w:hAnsi="標楷體" w:hint="eastAsia"/>
          <w:sz w:val="28"/>
          <w:szCs w:val="28"/>
        </w:rPr>
        <w:t>八、本作業規定由主任</w:t>
      </w:r>
      <w:r w:rsidR="00F56C7E" w:rsidRPr="00281E3F">
        <w:rPr>
          <w:rFonts w:ascii="標楷體" w:eastAsia="標楷體" w:hAnsi="標楷體" w:hint="eastAsia"/>
          <w:sz w:val="28"/>
          <w:szCs w:val="28"/>
        </w:rPr>
        <w:t>核定後實施，修正時亦同。</w:t>
      </w:r>
    </w:p>
    <w:sectPr w:rsidR="00F56C7E" w:rsidRPr="00281E3F" w:rsidSect="00281E3F">
      <w:footerReference w:type="even" r:id="rId8"/>
      <w:footerReference w:type="default" r:id="rId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FD" w:rsidRDefault="001B19FD">
      <w:r>
        <w:separator/>
      </w:r>
    </w:p>
  </w:endnote>
  <w:endnote w:type="continuationSeparator" w:id="0">
    <w:p w:rsidR="001B19FD" w:rsidRDefault="001B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otumChe">
    <w:panose1 w:val="020B0609000101010101"/>
    <w:charset w:val="81"/>
    <w:family w:val="modern"/>
    <w:pitch w:val="fixed"/>
    <w:sig w:usb0="B00002AF" w:usb1="69D77CFB" w:usb2="00000030" w:usb3="00000000" w:csb0="0008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ew Gulim">
    <w:altName w:val="Arial Unicode MS"/>
    <w:charset w:val="81"/>
    <w:family w:val="roman"/>
    <w:pitch w:val="variable"/>
    <w:sig w:usb0="00000000" w:usb1="7F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D5" w:rsidRDefault="00F91AD5" w:rsidP="00C62F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91AD5" w:rsidRDefault="00F91A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AD5" w:rsidRDefault="00F91AD5" w:rsidP="00C62FF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7661">
      <w:rPr>
        <w:rStyle w:val="a8"/>
        <w:noProof/>
      </w:rPr>
      <w:t>1</w:t>
    </w:r>
    <w:r>
      <w:rPr>
        <w:rStyle w:val="a8"/>
      </w:rPr>
      <w:fldChar w:fldCharType="end"/>
    </w:r>
  </w:p>
  <w:p w:rsidR="00F91AD5" w:rsidRDefault="00F91A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FD" w:rsidRDefault="001B19FD">
      <w:r>
        <w:separator/>
      </w:r>
    </w:p>
  </w:footnote>
  <w:footnote w:type="continuationSeparator" w:id="0">
    <w:p w:rsidR="001B19FD" w:rsidRDefault="001B1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1E8"/>
    <w:multiLevelType w:val="hybridMultilevel"/>
    <w:tmpl w:val="130C11DE"/>
    <w:lvl w:ilvl="0" w:tplc="7F30D562">
      <w:start w:val="1"/>
      <w:numFmt w:val="taiwaneseCountingThousand"/>
      <w:lvlText w:val="（%1）"/>
      <w:lvlJc w:val="left"/>
      <w:pPr>
        <w:tabs>
          <w:tab w:val="num" w:pos="1919"/>
        </w:tabs>
        <w:ind w:left="1919" w:hanging="1440"/>
      </w:pPr>
      <w:rPr>
        <w:rFonts w:hint="default"/>
      </w:rPr>
    </w:lvl>
    <w:lvl w:ilvl="1" w:tplc="CD5E4546">
      <w:start w:val="2"/>
      <w:numFmt w:val="ideographTraditional"/>
      <w:lvlText w:val="%2、"/>
      <w:lvlJc w:val="left"/>
      <w:pPr>
        <w:tabs>
          <w:tab w:val="num" w:pos="1679"/>
        </w:tabs>
        <w:ind w:left="1679" w:hanging="720"/>
      </w:pPr>
      <w:rPr>
        <w:rFonts w:hint="default"/>
      </w:rPr>
    </w:lvl>
    <w:lvl w:ilvl="2" w:tplc="0409001B" w:tentative="1">
      <w:start w:val="1"/>
      <w:numFmt w:val="lowerRoman"/>
      <w:lvlText w:val="%3."/>
      <w:lvlJc w:val="right"/>
      <w:pPr>
        <w:tabs>
          <w:tab w:val="num" w:pos="1919"/>
        </w:tabs>
        <w:ind w:left="1919" w:hanging="480"/>
      </w:pPr>
    </w:lvl>
    <w:lvl w:ilvl="3" w:tplc="0409000F" w:tentative="1">
      <w:start w:val="1"/>
      <w:numFmt w:val="decimal"/>
      <w:lvlText w:val="%4."/>
      <w:lvlJc w:val="left"/>
      <w:pPr>
        <w:tabs>
          <w:tab w:val="num" w:pos="2399"/>
        </w:tabs>
        <w:ind w:left="2399" w:hanging="480"/>
      </w:pPr>
    </w:lvl>
    <w:lvl w:ilvl="4" w:tplc="04090019" w:tentative="1">
      <w:start w:val="1"/>
      <w:numFmt w:val="ideographTraditional"/>
      <w:lvlText w:val="%5、"/>
      <w:lvlJc w:val="left"/>
      <w:pPr>
        <w:tabs>
          <w:tab w:val="num" w:pos="2879"/>
        </w:tabs>
        <w:ind w:left="2879" w:hanging="480"/>
      </w:pPr>
    </w:lvl>
    <w:lvl w:ilvl="5" w:tplc="0409001B" w:tentative="1">
      <w:start w:val="1"/>
      <w:numFmt w:val="lowerRoman"/>
      <w:lvlText w:val="%6."/>
      <w:lvlJc w:val="right"/>
      <w:pPr>
        <w:tabs>
          <w:tab w:val="num" w:pos="3359"/>
        </w:tabs>
        <w:ind w:left="3359" w:hanging="480"/>
      </w:pPr>
    </w:lvl>
    <w:lvl w:ilvl="6" w:tplc="0409000F" w:tentative="1">
      <w:start w:val="1"/>
      <w:numFmt w:val="decimal"/>
      <w:lvlText w:val="%7."/>
      <w:lvlJc w:val="left"/>
      <w:pPr>
        <w:tabs>
          <w:tab w:val="num" w:pos="3839"/>
        </w:tabs>
        <w:ind w:left="3839" w:hanging="480"/>
      </w:pPr>
    </w:lvl>
    <w:lvl w:ilvl="7" w:tplc="04090019" w:tentative="1">
      <w:start w:val="1"/>
      <w:numFmt w:val="ideographTraditional"/>
      <w:lvlText w:val="%8、"/>
      <w:lvlJc w:val="left"/>
      <w:pPr>
        <w:tabs>
          <w:tab w:val="num" w:pos="4319"/>
        </w:tabs>
        <w:ind w:left="4319" w:hanging="480"/>
      </w:pPr>
    </w:lvl>
    <w:lvl w:ilvl="8" w:tplc="0409001B" w:tentative="1">
      <w:start w:val="1"/>
      <w:numFmt w:val="lowerRoman"/>
      <w:lvlText w:val="%9."/>
      <w:lvlJc w:val="right"/>
      <w:pPr>
        <w:tabs>
          <w:tab w:val="num" w:pos="4799"/>
        </w:tabs>
        <w:ind w:left="4799" w:hanging="480"/>
      </w:pPr>
    </w:lvl>
  </w:abstractNum>
  <w:abstractNum w:abstractNumId="1">
    <w:nsid w:val="0AD66E1C"/>
    <w:multiLevelType w:val="multilevel"/>
    <w:tmpl w:val="130C11DE"/>
    <w:lvl w:ilvl="0">
      <w:start w:val="1"/>
      <w:numFmt w:val="taiwaneseCountingThousand"/>
      <w:lvlText w:val="（%1）"/>
      <w:lvlJc w:val="left"/>
      <w:pPr>
        <w:tabs>
          <w:tab w:val="num" w:pos="1919"/>
        </w:tabs>
        <w:ind w:left="1919" w:hanging="1440"/>
      </w:pPr>
      <w:rPr>
        <w:rFonts w:hint="default"/>
      </w:rPr>
    </w:lvl>
    <w:lvl w:ilvl="1">
      <w:start w:val="2"/>
      <w:numFmt w:val="ideographTraditional"/>
      <w:lvlText w:val="%2、"/>
      <w:lvlJc w:val="left"/>
      <w:pPr>
        <w:tabs>
          <w:tab w:val="num" w:pos="1679"/>
        </w:tabs>
        <w:ind w:left="1679" w:hanging="720"/>
      </w:pPr>
      <w:rPr>
        <w:rFonts w:hint="default"/>
      </w:rPr>
    </w:lvl>
    <w:lvl w:ilvl="2">
      <w:start w:val="1"/>
      <w:numFmt w:val="lowerRoman"/>
      <w:lvlText w:val="%3."/>
      <w:lvlJc w:val="right"/>
      <w:pPr>
        <w:tabs>
          <w:tab w:val="num" w:pos="1919"/>
        </w:tabs>
        <w:ind w:left="1919" w:hanging="480"/>
      </w:pPr>
    </w:lvl>
    <w:lvl w:ilvl="3">
      <w:start w:val="1"/>
      <w:numFmt w:val="decimal"/>
      <w:lvlText w:val="%4."/>
      <w:lvlJc w:val="left"/>
      <w:pPr>
        <w:tabs>
          <w:tab w:val="num" w:pos="2399"/>
        </w:tabs>
        <w:ind w:left="2399" w:hanging="480"/>
      </w:pPr>
    </w:lvl>
    <w:lvl w:ilvl="4">
      <w:start w:val="1"/>
      <w:numFmt w:val="ideographTraditional"/>
      <w:lvlText w:val="%5、"/>
      <w:lvlJc w:val="left"/>
      <w:pPr>
        <w:tabs>
          <w:tab w:val="num" w:pos="2879"/>
        </w:tabs>
        <w:ind w:left="2879" w:hanging="480"/>
      </w:pPr>
    </w:lvl>
    <w:lvl w:ilvl="5">
      <w:start w:val="1"/>
      <w:numFmt w:val="lowerRoman"/>
      <w:lvlText w:val="%6."/>
      <w:lvlJc w:val="right"/>
      <w:pPr>
        <w:tabs>
          <w:tab w:val="num" w:pos="3359"/>
        </w:tabs>
        <w:ind w:left="3359" w:hanging="480"/>
      </w:pPr>
    </w:lvl>
    <w:lvl w:ilvl="6">
      <w:start w:val="1"/>
      <w:numFmt w:val="decimal"/>
      <w:lvlText w:val="%7."/>
      <w:lvlJc w:val="left"/>
      <w:pPr>
        <w:tabs>
          <w:tab w:val="num" w:pos="3839"/>
        </w:tabs>
        <w:ind w:left="3839" w:hanging="480"/>
      </w:pPr>
    </w:lvl>
    <w:lvl w:ilvl="7">
      <w:start w:val="1"/>
      <w:numFmt w:val="ideographTraditional"/>
      <w:lvlText w:val="%8、"/>
      <w:lvlJc w:val="left"/>
      <w:pPr>
        <w:tabs>
          <w:tab w:val="num" w:pos="4319"/>
        </w:tabs>
        <w:ind w:left="4319" w:hanging="480"/>
      </w:pPr>
    </w:lvl>
    <w:lvl w:ilvl="8">
      <w:start w:val="1"/>
      <w:numFmt w:val="lowerRoman"/>
      <w:lvlText w:val="%9."/>
      <w:lvlJc w:val="right"/>
      <w:pPr>
        <w:tabs>
          <w:tab w:val="num" w:pos="4799"/>
        </w:tabs>
        <w:ind w:left="4799" w:hanging="480"/>
      </w:pPr>
    </w:lvl>
  </w:abstractNum>
  <w:abstractNum w:abstractNumId="2">
    <w:nsid w:val="0B2C47F8"/>
    <w:multiLevelType w:val="hybridMultilevel"/>
    <w:tmpl w:val="7410045A"/>
    <w:lvl w:ilvl="0" w:tplc="F68AC61A">
      <w:start w:val="1"/>
      <w:numFmt w:val="taiwaneseCountingThousand"/>
      <w:lvlText w:val="（%1）"/>
      <w:lvlJc w:val="left"/>
      <w:pPr>
        <w:tabs>
          <w:tab w:val="num" w:pos="1640"/>
        </w:tabs>
        <w:ind w:left="1640" w:hanging="108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nsid w:val="20673833"/>
    <w:multiLevelType w:val="hybridMultilevel"/>
    <w:tmpl w:val="1C66BA62"/>
    <w:lvl w:ilvl="0" w:tplc="965AAA8C">
      <w:start w:val="1"/>
      <w:numFmt w:val="taiwaneseCountingThousand"/>
      <w:lvlText w:val="%1、"/>
      <w:lvlJc w:val="left"/>
      <w:pPr>
        <w:tabs>
          <w:tab w:val="num" w:pos="719"/>
        </w:tabs>
        <w:ind w:left="719" w:hanging="720"/>
      </w:pPr>
      <w:rPr>
        <w:rFonts w:hint="default"/>
      </w:rPr>
    </w:lvl>
    <w:lvl w:ilvl="1" w:tplc="B4A2395A">
      <w:start w:val="1"/>
      <w:numFmt w:val="ideographTraditional"/>
      <w:lvlText w:val="%2、"/>
      <w:lvlJc w:val="left"/>
      <w:pPr>
        <w:tabs>
          <w:tab w:val="num" w:pos="959"/>
        </w:tabs>
        <w:ind w:left="959" w:hanging="480"/>
      </w:pPr>
      <w:rPr>
        <w:rFonts w:ascii="Times New Roman" w:eastAsia="Times New Roman" w:hAnsi="Times New Roman" w:cs="Times New Roman"/>
      </w:r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4">
    <w:nsid w:val="28FC7454"/>
    <w:multiLevelType w:val="multilevel"/>
    <w:tmpl w:val="43267922"/>
    <w:lvl w:ilvl="0">
      <w:start w:val="1"/>
      <w:numFmt w:val="taiwaneseCountingThousand"/>
      <w:lvlText w:val="%1、"/>
      <w:lvlJc w:val="left"/>
      <w:pPr>
        <w:tabs>
          <w:tab w:val="num" w:pos="719"/>
        </w:tabs>
        <w:ind w:left="719" w:hanging="720"/>
      </w:pPr>
      <w:rPr>
        <w:rFonts w:hint="default"/>
      </w:rPr>
    </w:lvl>
    <w:lvl w:ilvl="1">
      <w:start w:val="1"/>
      <w:numFmt w:val="ideographTraditional"/>
      <w:lvlText w:val="%2、"/>
      <w:lvlJc w:val="left"/>
      <w:pPr>
        <w:tabs>
          <w:tab w:val="num" w:pos="959"/>
        </w:tabs>
        <w:ind w:left="959" w:hanging="480"/>
      </w:pPr>
      <w:rPr>
        <w:rFonts w:ascii="Times New Roman" w:eastAsia="Times New Roman" w:hAnsi="Times New Roman" w:cs="Times New Roman"/>
      </w:rPr>
    </w:lvl>
    <w:lvl w:ilvl="2">
      <w:start w:val="1"/>
      <w:numFmt w:val="lowerRoman"/>
      <w:lvlText w:val="%3."/>
      <w:lvlJc w:val="right"/>
      <w:pPr>
        <w:tabs>
          <w:tab w:val="num" w:pos="1439"/>
        </w:tabs>
        <w:ind w:left="1439" w:hanging="480"/>
      </w:pPr>
    </w:lvl>
    <w:lvl w:ilvl="3">
      <w:start w:val="1"/>
      <w:numFmt w:val="decimal"/>
      <w:lvlText w:val="%4."/>
      <w:lvlJc w:val="left"/>
      <w:pPr>
        <w:tabs>
          <w:tab w:val="num" w:pos="1919"/>
        </w:tabs>
        <w:ind w:left="1919" w:hanging="480"/>
      </w:pPr>
    </w:lvl>
    <w:lvl w:ilvl="4">
      <w:start w:val="1"/>
      <w:numFmt w:val="ideographTraditional"/>
      <w:lvlText w:val="%5、"/>
      <w:lvlJc w:val="left"/>
      <w:pPr>
        <w:tabs>
          <w:tab w:val="num" w:pos="2399"/>
        </w:tabs>
        <w:ind w:left="2399" w:hanging="480"/>
      </w:pPr>
    </w:lvl>
    <w:lvl w:ilvl="5">
      <w:start w:val="1"/>
      <w:numFmt w:val="lowerRoman"/>
      <w:lvlText w:val="%6."/>
      <w:lvlJc w:val="right"/>
      <w:pPr>
        <w:tabs>
          <w:tab w:val="num" w:pos="2879"/>
        </w:tabs>
        <w:ind w:left="2879" w:hanging="480"/>
      </w:pPr>
    </w:lvl>
    <w:lvl w:ilvl="6">
      <w:start w:val="1"/>
      <w:numFmt w:val="decimal"/>
      <w:lvlText w:val="%7."/>
      <w:lvlJc w:val="left"/>
      <w:pPr>
        <w:tabs>
          <w:tab w:val="num" w:pos="3359"/>
        </w:tabs>
        <w:ind w:left="3359" w:hanging="480"/>
      </w:pPr>
    </w:lvl>
    <w:lvl w:ilvl="7">
      <w:start w:val="1"/>
      <w:numFmt w:val="ideographTraditional"/>
      <w:lvlText w:val="%8、"/>
      <w:lvlJc w:val="left"/>
      <w:pPr>
        <w:tabs>
          <w:tab w:val="num" w:pos="3839"/>
        </w:tabs>
        <w:ind w:left="3839" w:hanging="480"/>
      </w:pPr>
    </w:lvl>
    <w:lvl w:ilvl="8">
      <w:start w:val="1"/>
      <w:numFmt w:val="lowerRoman"/>
      <w:lvlText w:val="%9."/>
      <w:lvlJc w:val="right"/>
      <w:pPr>
        <w:tabs>
          <w:tab w:val="num" w:pos="4319"/>
        </w:tabs>
        <w:ind w:left="4319" w:hanging="480"/>
      </w:pPr>
    </w:lvl>
  </w:abstractNum>
  <w:abstractNum w:abstractNumId="5">
    <w:nsid w:val="2A500D26"/>
    <w:multiLevelType w:val="hybridMultilevel"/>
    <w:tmpl w:val="43267922"/>
    <w:lvl w:ilvl="0" w:tplc="965AAA8C">
      <w:start w:val="1"/>
      <w:numFmt w:val="taiwaneseCountingThousand"/>
      <w:lvlText w:val="%1、"/>
      <w:lvlJc w:val="left"/>
      <w:pPr>
        <w:tabs>
          <w:tab w:val="num" w:pos="719"/>
        </w:tabs>
        <w:ind w:left="719" w:hanging="720"/>
      </w:pPr>
      <w:rPr>
        <w:rFonts w:hint="default"/>
      </w:rPr>
    </w:lvl>
    <w:lvl w:ilvl="1" w:tplc="782E05F2">
      <w:start w:val="1"/>
      <w:numFmt w:val="ideographTraditional"/>
      <w:lvlText w:val="%2、"/>
      <w:lvlJc w:val="left"/>
      <w:pPr>
        <w:tabs>
          <w:tab w:val="num" w:pos="959"/>
        </w:tabs>
        <w:ind w:left="959" w:hanging="480"/>
      </w:pPr>
      <w:rPr>
        <w:rFonts w:ascii="Times New Roman" w:eastAsia="Times New Roman" w:hAnsi="Times New Roman" w:cs="Times New Roman"/>
      </w:r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abstractNum w:abstractNumId="6">
    <w:nsid w:val="517A043C"/>
    <w:multiLevelType w:val="hybridMultilevel"/>
    <w:tmpl w:val="1430C160"/>
    <w:lvl w:ilvl="0" w:tplc="D6A2C79A">
      <w:start w:val="1"/>
      <w:numFmt w:val="taiwaneseCountingThousand"/>
      <w:lvlText w:val="（%1）"/>
      <w:lvlJc w:val="left"/>
      <w:pPr>
        <w:tabs>
          <w:tab w:val="num" w:pos="1560"/>
        </w:tabs>
        <w:ind w:left="1560" w:hanging="840"/>
      </w:pPr>
      <w:rPr>
        <w:rFonts w:hint="default"/>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7">
    <w:nsid w:val="671612AB"/>
    <w:multiLevelType w:val="hybridMultilevel"/>
    <w:tmpl w:val="2EB65F8A"/>
    <w:lvl w:ilvl="0" w:tplc="A356BC14">
      <w:start w:val="1"/>
      <w:numFmt w:val="taiwaneseCountingThousand"/>
      <w:lvlText w:val="%1、"/>
      <w:lvlJc w:val="left"/>
      <w:pPr>
        <w:tabs>
          <w:tab w:val="num" w:pos="719"/>
        </w:tabs>
        <w:ind w:left="719" w:hanging="720"/>
      </w:pPr>
      <w:rPr>
        <w:rFonts w:eastAsia="DotumChe" w:hint="default"/>
      </w:rPr>
    </w:lvl>
    <w:lvl w:ilvl="1" w:tplc="C03AE69A">
      <w:start w:val="1"/>
      <w:numFmt w:val="taiwaneseCountingThousand"/>
      <w:lvlText w:val="（%2）"/>
      <w:lvlJc w:val="left"/>
      <w:pPr>
        <w:tabs>
          <w:tab w:val="num" w:pos="1559"/>
        </w:tabs>
        <w:ind w:left="1559" w:hanging="1080"/>
      </w:pPr>
      <w:rPr>
        <w:rFonts w:hint="default"/>
      </w:rPr>
    </w:lvl>
    <w:lvl w:ilvl="2" w:tplc="0409001B" w:tentative="1">
      <w:start w:val="1"/>
      <w:numFmt w:val="lowerRoman"/>
      <w:lvlText w:val="%3."/>
      <w:lvlJc w:val="right"/>
      <w:pPr>
        <w:tabs>
          <w:tab w:val="num" w:pos="1439"/>
        </w:tabs>
        <w:ind w:left="1439" w:hanging="480"/>
      </w:pPr>
    </w:lvl>
    <w:lvl w:ilvl="3" w:tplc="0409000F" w:tentative="1">
      <w:start w:val="1"/>
      <w:numFmt w:val="decimal"/>
      <w:lvlText w:val="%4."/>
      <w:lvlJc w:val="left"/>
      <w:pPr>
        <w:tabs>
          <w:tab w:val="num" w:pos="1919"/>
        </w:tabs>
        <w:ind w:left="1919" w:hanging="480"/>
      </w:pPr>
    </w:lvl>
    <w:lvl w:ilvl="4" w:tplc="04090019" w:tentative="1">
      <w:start w:val="1"/>
      <w:numFmt w:val="ideographTraditional"/>
      <w:lvlText w:val="%5、"/>
      <w:lvlJc w:val="left"/>
      <w:pPr>
        <w:tabs>
          <w:tab w:val="num" w:pos="2399"/>
        </w:tabs>
        <w:ind w:left="2399" w:hanging="480"/>
      </w:pPr>
    </w:lvl>
    <w:lvl w:ilvl="5" w:tplc="0409001B" w:tentative="1">
      <w:start w:val="1"/>
      <w:numFmt w:val="lowerRoman"/>
      <w:lvlText w:val="%6."/>
      <w:lvlJc w:val="right"/>
      <w:pPr>
        <w:tabs>
          <w:tab w:val="num" w:pos="2879"/>
        </w:tabs>
        <w:ind w:left="2879" w:hanging="480"/>
      </w:pPr>
    </w:lvl>
    <w:lvl w:ilvl="6" w:tplc="0409000F" w:tentative="1">
      <w:start w:val="1"/>
      <w:numFmt w:val="decimal"/>
      <w:lvlText w:val="%7."/>
      <w:lvlJc w:val="left"/>
      <w:pPr>
        <w:tabs>
          <w:tab w:val="num" w:pos="3359"/>
        </w:tabs>
        <w:ind w:left="3359" w:hanging="480"/>
      </w:pPr>
    </w:lvl>
    <w:lvl w:ilvl="7" w:tplc="04090019" w:tentative="1">
      <w:start w:val="1"/>
      <w:numFmt w:val="ideographTraditional"/>
      <w:lvlText w:val="%8、"/>
      <w:lvlJc w:val="left"/>
      <w:pPr>
        <w:tabs>
          <w:tab w:val="num" w:pos="3839"/>
        </w:tabs>
        <w:ind w:left="3839" w:hanging="480"/>
      </w:pPr>
    </w:lvl>
    <w:lvl w:ilvl="8" w:tplc="0409001B" w:tentative="1">
      <w:start w:val="1"/>
      <w:numFmt w:val="lowerRoman"/>
      <w:lvlText w:val="%9."/>
      <w:lvlJc w:val="right"/>
      <w:pPr>
        <w:tabs>
          <w:tab w:val="num" w:pos="4319"/>
        </w:tabs>
        <w:ind w:left="4319" w:hanging="480"/>
      </w:pPr>
    </w:lvl>
  </w:abstractNum>
  <w:num w:numId="1">
    <w:abstractNumId w:val="7"/>
  </w:num>
  <w:num w:numId="2">
    <w:abstractNumId w:val="0"/>
  </w:num>
  <w:num w:numId="3">
    <w:abstractNumId w:val="2"/>
  </w:num>
  <w:num w:numId="4">
    <w:abstractNumId w:val="6"/>
  </w:num>
  <w:num w:numId="5">
    <w:abstractNumId w:val="3"/>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9A4"/>
    <w:rsid w:val="0000672E"/>
    <w:rsid w:val="0001107B"/>
    <w:rsid w:val="001408B3"/>
    <w:rsid w:val="00146CF8"/>
    <w:rsid w:val="0015700E"/>
    <w:rsid w:val="001B19FD"/>
    <w:rsid w:val="00281E3F"/>
    <w:rsid w:val="00287BFA"/>
    <w:rsid w:val="002A45FA"/>
    <w:rsid w:val="002B71EE"/>
    <w:rsid w:val="003455F6"/>
    <w:rsid w:val="00413721"/>
    <w:rsid w:val="004A3FDF"/>
    <w:rsid w:val="004D08EB"/>
    <w:rsid w:val="005809A4"/>
    <w:rsid w:val="00664B91"/>
    <w:rsid w:val="0079698A"/>
    <w:rsid w:val="007B1BC1"/>
    <w:rsid w:val="00841E6A"/>
    <w:rsid w:val="00847F38"/>
    <w:rsid w:val="00865946"/>
    <w:rsid w:val="0086743E"/>
    <w:rsid w:val="00A57CE1"/>
    <w:rsid w:val="00AB02F3"/>
    <w:rsid w:val="00AD16B9"/>
    <w:rsid w:val="00B00886"/>
    <w:rsid w:val="00B13FC4"/>
    <w:rsid w:val="00BD40CC"/>
    <w:rsid w:val="00BD7C19"/>
    <w:rsid w:val="00C62FFE"/>
    <w:rsid w:val="00DA50F2"/>
    <w:rsid w:val="00DD6096"/>
    <w:rsid w:val="00E3728D"/>
    <w:rsid w:val="00E5119C"/>
    <w:rsid w:val="00EF1481"/>
    <w:rsid w:val="00F56C7E"/>
    <w:rsid w:val="00F91AD5"/>
    <w:rsid w:val="00FA7661"/>
    <w:rsid w:val="00FB73D4"/>
    <w:rsid w:val="00FD0A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rsid w:val="0086743E"/>
    <w:rPr>
      <w:color w:val="0000FF"/>
      <w:sz w:val="32"/>
      <w:szCs w:val="32"/>
    </w:rPr>
  </w:style>
  <w:style w:type="paragraph" w:styleId="a4">
    <w:name w:val="Closing"/>
    <w:basedOn w:val="a"/>
    <w:rsid w:val="0086743E"/>
    <w:pPr>
      <w:ind w:leftChars="1800" w:left="100"/>
    </w:pPr>
    <w:rPr>
      <w:color w:val="0000FF"/>
      <w:sz w:val="32"/>
      <w:szCs w:val="32"/>
    </w:rPr>
  </w:style>
  <w:style w:type="paragraph" w:styleId="a5">
    <w:name w:val="Block Text"/>
    <w:basedOn w:val="a"/>
    <w:rsid w:val="00F56C7E"/>
    <w:pPr>
      <w:spacing w:line="260" w:lineRule="exact"/>
      <w:ind w:left="1276" w:right="75" w:hanging="721"/>
    </w:pPr>
    <w:rPr>
      <w:rFonts w:eastAsia="標楷體"/>
    </w:rPr>
  </w:style>
  <w:style w:type="paragraph" w:styleId="3">
    <w:name w:val="Body Text Indent 3"/>
    <w:basedOn w:val="a"/>
    <w:rsid w:val="00F56C7E"/>
    <w:pPr>
      <w:widowControl/>
      <w:overflowPunct w:val="0"/>
      <w:autoSpaceDE w:val="0"/>
      <w:autoSpaceDN w:val="0"/>
      <w:adjustRightInd w:val="0"/>
      <w:spacing w:after="120"/>
      <w:ind w:leftChars="200" w:left="480"/>
      <w:textAlignment w:val="baseline"/>
    </w:pPr>
    <w:rPr>
      <w:kern w:val="0"/>
      <w:sz w:val="16"/>
      <w:szCs w:val="16"/>
    </w:rPr>
  </w:style>
  <w:style w:type="paragraph" w:styleId="a6">
    <w:name w:val="Body Text Indent"/>
    <w:basedOn w:val="a"/>
    <w:rsid w:val="00F56C7E"/>
    <w:pPr>
      <w:spacing w:line="400" w:lineRule="exact"/>
      <w:ind w:leftChars="225" w:left="541" w:hanging="1"/>
      <w:jc w:val="both"/>
    </w:pPr>
    <w:rPr>
      <w:rFonts w:ascii="New Gulim" w:eastAsia="標楷體" w:hAnsi="New Gulim"/>
      <w:b/>
      <w:sz w:val="32"/>
      <w:szCs w:val="30"/>
    </w:rPr>
  </w:style>
  <w:style w:type="paragraph" w:styleId="2">
    <w:name w:val="Body Text Indent 2"/>
    <w:basedOn w:val="a"/>
    <w:rsid w:val="00F56C7E"/>
    <w:pPr>
      <w:spacing w:line="400" w:lineRule="exact"/>
      <w:ind w:leftChars="-12" w:left="931" w:hangingChars="300" w:hanging="960"/>
      <w:jc w:val="both"/>
    </w:pPr>
    <w:rPr>
      <w:rFonts w:ascii="標楷體" w:eastAsia="標楷體"/>
      <w:sz w:val="32"/>
      <w:szCs w:val="30"/>
    </w:rPr>
  </w:style>
  <w:style w:type="paragraph" w:styleId="a7">
    <w:name w:val="footer"/>
    <w:basedOn w:val="a"/>
    <w:rsid w:val="00AB02F3"/>
    <w:pPr>
      <w:tabs>
        <w:tab w:val="center" w:pos="4153"/>
        <w:tab w:val="right" w:pos="8306"/>
      </w:tabs>
      <w:snapToGrid w:val="0"/>
    </w:pPr>
    <w:rPr>
      <w:sz w:val="20"/>
      <w:szCs w:val="20"/>
    </w:rPr>
  </w:style>
  <w:style w:type="character" w:styleId="a8">
    <w:name w:val="page number"/>
    <w:basedOn w:val="a0"/>
    <w:rsid w:val="00AB02F3"/>
  </w:style>
  <w:style w:type="paragraph" w:styleId="a9">
    <w:name w:val="header"/>
    <w:basedOn w:val="a"/>
    <w:link w:val="aa"/>
    <w:rsid w:val="00287BFA"/>
    <w:pPr>
      <w:tabs>
        <w:tab w:val="center" w:pos="4153"/>
        <w:tab w:val="right" w:pos="8306"/>
      </w:tabs>
      <w:snapToGrid w:val="0"/>
    </w:pPr>
    <w:rPr>
      <w:sz w:val="20"/>
      <w:szCs w:val="20"/>
    </w:rPr>
  </w:style>
  <w:style w:type="character" w:customStyle="1" w:styleId="aa">
    <w:name w:val="頁首 字元"/>
    <w:link w:val="a9"/>
    <w:rsid w:val="00287BFA"/>
    <w:rPr>
      <w:kern w:val="2"/>
    </w:rPr>
  </w:style>
  <w:style w:type="paragraph" w:styleId="ab">
    <w:name w:val="Balloon Text"/>
    <w:basedOn w:val="a"/>
    <w:link w:val="ac"/>
    <w:rsid w:val="00287BFA"/>
    <w:rPr>
      <w:rFonts w:ascii="Cambria" w:hAnsi="Cambria"/>
      <w:sz w:val="18"/>
      <w:szCs w:val="18"/>
    </w:rPr>
  </w:style>
  <w:style w:type="character" w:customStyle="1" w:styleId="ac">
    <w:name w:val="註解方塊文字 字元"/>
    <w:link w:val="ab"/>
    <w:rsid w:val="00287BFA"/>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905</Characters>
  <Application>Microsoft Office Word</Application>
  <DocSecurity>0</DocSecurity>
  <Lines>7</Lines>
  <Paragraphs>2</Paragraphs>
  <ScaleCrop>false</ScaleCrop>
  <Company>Microsoft</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沙鹿區戶政事務所（以下簡稱本所）依據兩性工作平等法第十三條、性騷擾防治法第七條、工作場所性騷擾防治措施申訴及懲戒辦法訂定準則第四條與性騷擾防治準則第四條，特頒佈禁止性侵害暨性騷擾之防治要點</dc:title>
  <dc:creator>user</dc:creator>
  <cp:lastModifiedBy>owner</cp:lastModifiedBy>
  <cp:revision>2</cp:revision>
  <cp:lastPrinted>2014-04-19T07:07:00Z</cp:lastPrinted>
  <dcterms:created xsi:type="dcterms:W3CDTF">2019-07-02T02:09:00Z</dcterms:created>
  <dcterms:modified xsi:type="dcterms:W3CDTF">2019-07-02T02:09:00Z</dcterms:modified>
</cp:coreProperties>
</file>